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167</w:t>
      </w:r>
    </w:p>
    <w:p>
      <w:r>
        <w:t>Bundesgericht (BGE), 2006-05-10, DE</w:t>
      </w:r>
    </w:p>
    <w:p>
      <w:r>
        <w:rPr>
          <w:b/>
        </w:rPr>
        <w:t xml:space="preserve">Quelle: </w:t>
      </w:r>
      <w:r>
        <w:t>https://mcp.opencaselaw.ch/entscheid/bge_132 I 167</w:t>
      </w:r>
    </w:p>
    <w:p>
      <w:r>
        <w:t>FR: ATF 132 I 167</w:t>
      </w:r>
    </w:p>
    <w:p>
      <w:r>
        <w:t>IT: DTF 132 I 167</w:t>
      </w:r>
    </w:p>
    <w:p>
      <w:pPr>
        <w:pStyle w:val="Heading2"/>
      </w:pPr>
      <w:r>
        <w:t>Regeste</w:t>
      </w:r>
    </w:p>
    <w:p>
      <w:r>
        <w:t>Regeste Art. 8 Abs. 2 und 3 BV; diskriminierende Verweigerung einer Einbürgerung? Der Berufung auf Art. 15 BV und Art. 9 EMRK kommt im Hinblick auf die Rüge, die Einbürgerung sei wegen der Religionszugehörigkeit aus diskriminierenden Gründen verweigert worden, keine selbständige Bedeutung zu (E. 3). Mangels hinreichender Integration der Gesuchstellerin verstösst die Verweigerung der Einbürgerung nicht gegen Art. 8 Abs. 2 BV (E. 4).</w:t>
      </w:r>
    </w:p>
    <w:p>
      <w:pPr>
        <w:pStyle w:val="Heading2"/>
      </w:pPr>
      <w:r>
        <w:t>Erwägungen</w:t>
      </w:r>
    </w:p>
    <w:p>
      <w:r>
        <w:rPr>
          <w:b/>
        </w:rPr>
        <w:t>E. 2</w:t>
      </w:r>
    </w:p>
    <w:p>
      <w:r>
        <w:t>Die Beschwerdeführerin macht nicht geltend, dass sie nach dem kantonalen Bürgerrechtsgesetz einen Anspruch auf Einbürgerung habe. Für die Bejahung ihrer Legitimation muss sie daher in unmittelbar durch die Bundesverfassung geschützten Interessen betroffen sein.</w:t>
      </w:r>
    </w:p>
    <w:p>
      <w:r>
        <w:rPr>
          <w:b/>
        </w:rPr>
        <w:t>E. 2.1</w:t>
      </w:r>
    </w:p>
    <w:p>
      <w:r>
        <w:t>Als Partei im kantonalen Verfahren kann die Beschwerdeführerin die Verletzung bundesverfassungsrechtlicher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 BGE 129 I 217 E. 1.4 S. 222; BGE 131 I 18 ). Hingegen legitimiert diese Parteistellung nicht zur Rüge, ein Entscheid sei mangelhaft begründet, d.h. die Begründung sei unvollständig, zu wenig differenziert oder materiell unzutreffend ( BGE 129 I 217 E. 1.4 S. 222). Eine solche setzt die Legitimation in der Sache selbst voraus, die sich bei Anrufung spezieller Verfassungsrechte bereits aus der Grundrechtsträgerschaft und dem Inhalt der als verletzt gerügten Verfassungsrechte ergibt ( BGE 129 I 217 E. 1.1 S. 220). Das trifft auf die Rügen zu, der angefochtene Beschluss verletze das BGE 132 I 167 S. 169 Diskriminierungsverbot und das Gebot der Geschlechtergleichbehandlung gemäss Art. 8 Abs. 2 und 3 BV bzw. der Beschluss halte vor der Religionsfreiheit nach Art. 15 BV und Art. 9 EMRK nicht stand. Bei dieser Sachlage kommt der Anrufung von Art. 13 EMRK in Verbindung mit Art. 9 EMRK keine selbständige Bedeutung zu. In diesem Rahmen ist die Beschwerdeführerin zur Beschwerde legitimiert.</w:t>
      </w:r>
    </w:p>
    <w:p>
      <w:r>
        <w:rPr>
          <w:b/>
        </w:rPr>
        <w:t>E. 2.2</w:t>
      </w:r>
    </w:p>
    <w:p>
      <w:r>
        <w:t>Im vorliegenden Fall rügt die Beschwerdeführerin nicht eigentlich das Fehlen einer Begründung überhaupt. Sie macht vielmehr geltend, die Motive des Landrates und damit der angefochtene Beschluss als solcher stützten sich letztlich auf Überlegungen, die gegen das Diskriminierungsverbot sowie gegen die Religionsfreiheit verstiessen.</w:t>
      </w:r>
    </w:p>
    <w:p>
      <w:r>
        <w:rPr>
          <w:b/>
        </w:rPr>
        <w:t>E. 3</w:t>
      </w:r>
    </w:p>
    <w:p>
      <w:r>
        <w:t>Die Beschwerdeführerin macht eine Verletzung des Diskriminierungsverbots nach Art. 8 Abs. 2 und Abs. 3 BV sowie der Religionsfreiheit gemäss Art. 15 BV und Art. 9 EMRK geltend. 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Art. 15 Abs. 1 BV gewährleistet die Glaubens- und Gewissensfreiheit; nach Art. 15 Abs. 2 BV hat jede Person das Recht, ihre Religion und ihre weltanschauliche Überzeugung frei zu wählen und BGE 132 I 167 S. 170 allein oder in Gemeinschaft mit anderen zu bekennen. Einen entsprechenden Schutz gewährt Art. 9 Ziff. 1 EMRK , welchem für den vorliegenden Zusammenhang keine über Art. 15 BV hinausgehende Tragweite zukommt (vgl. BGE 123 I 296 E. 2b/aa S. 301). Im vorliegenden Fall kommt der Berufung auf Art. 15 BV und Art. 9 EMRK keine eigenständige Bedeutung zu. Der Beschwerdeführerin wird durch den angefochtenen Entscheid in keiner Weise versagt, ihre Religion frei zu wählen und auszuüben oder sie durch religiös bedingte Gewohnheiten wie das Verhalten im gesellschaftlichen Umfeld oder das Tragen von Kopftuch und langen Gewändern zu bekennen. Einen Eingriff in die Religionsfreiheit erblickt die Beschwerdeführerin im Umstand, dass sie wegen ihres Bekenntnisses zum Islam und den daraus folgenden Gewohnheiten nicht eingebürgert worden ist bzw. für eine erfolgreiche Einbürgerung ihre Religion aufgeben müsste. Dieser behauptete Eingriff wäre indessen ein indirekter. Er bedeutete, dass die Beschwerdeführerin wegen ihres religiösen Bekenntnisses im Einbürgerungsverfahren benachteiligt worden sei. Eine derartige Benachteiligung wäre indessen typischerweise dem Diskriminierungsverbot gemäss Art. 8 Abs. 2 BV zuzuordnen. Die Beschwerde ist daher unter diesem Gesichtswinkel zu beurteilen. Dabei zeigen die vorliegenden Gegebenheiten, dass sich nicht bloss die Frage einer diskriminierenden Behandlung wegen einer religiösen Überzeugung nach Art. 8 Abs. 2 BV stellt. Denn mit Entscheiden vom gleichen Tag hat der Landrat dem Vater und dem Bruder der Beschwerdeführerin, die sich gleichermassen zum Islam bekennen, das Kantonsbürgerrecht erteilt. Die Beschwerdeführerin macht daher zusätzlich geltend, dass sie wegen ihrer religiösen Überzeugung spezifisch als Frau benachteiligt werde. Aus dem Koran werde für Musliminnen das Gebot abgeleitet, das Kopftuch und lange Gewänder zu tragen und fremden Männern nicht die Hand zu reichen. Die Befolgung dieser Regeln habe sie im Einbürgerungsverfahren zusätzlich als Frau in diskriminierender Weise benachteiligt. Diese Rüge weist damit einen zusätzlichen Zusammenhang mit dem Verbot der Geschlechterdiskriminierung auf und ist daher auch unter dem Gesichtswinkel von Art. 8 Abs. 3 BV zu beurteilen.</w:t>
      </w:r>
    </w:p>
    <w:p>
      <w:r>
        <w:rPr>
          <w:b/>
        </w:rPr>
        <w:t>E. 4.1</w:t>
      </w:r>
    </w:p>
    <w:p>
      <w:r>
        <w:t>Für die Beurteilung der von der Beschwerdeführerin vorgetragenen Rüge, der Landratsbeschluss bzw. die Begründung lasse sich BGE 132 I 167 S. 171 vor dem Diskiminierungsverbot nicht halten, ist in erster Linie auf den offiziellen Antrag der (Mehrheit der) Petitionskommission und die von ihr dargelegten Motive abzustellen (vgl. BGE 131 I 18 E. 3.1 S. 20; Urteil 1P.516/2005 vom 19. Januar 2006). Gleichermassen sind die Diskussionsvoten im Landrat, mit denen der Antrag der Kommission unterstützt wurde, mitzuberücksichtigen. Im bundesgerichtlichen Verfahren ist schliesslich die Vernehmlassung des Rechtsdienstes, welche die Begründung der Petitionskommission präzisiert und zu der die Beschwerdeführerin hatte Stellung nehmen können, von Bedeutung. Demgegenüber tragen die Voten von Landräten, die dem Antrag der Petitionskommission entgegentraten und sich für die Gutheissung des Einbürgerungsgesuchs einsetzten, den angefochtenen Landratsbeschluss gerade nicht mit und sind für die Beurteilung der vorliegenden Beschwerde grundsätzlich ausser Acht zu lassen. Immerhin ist im Einzelfall nicht auszuschliessen, dass Minderheitsvoten gewisse Rückschlüsse auf Haltung und Begründung der Mehrheit zulassen und insoweit die Auffassung der Mehrheit in fragwürdigem Licht erscheinen lassen können. Im Einzelfall sind die verschiedenen, allenfalls voneinander abweichenden Begründungen miteinander in Beziehung zu setzen und entsprechend zu gewichten. Dabei ist für das bundesgerichtliche Verfahren von Bedeutung, dass ein kantonaler Entscheid auf staatsrechtliche Beschwerde hin nicht schon allein wegen einzelner Begründungselemente, sondern nur dann aufgehoben wird, wenn er sich auch im Ergebnis als verfassungswidrig erweist ( BGE 131 I 217 E. 2.1 S. 219; BGE 129 I 8 E. 2.1 S. 9; BGE 127 I 54 E. 2b S. 56; BGE 126 I 50 E. 4d S. 60).</w:t>
      </w:r>
    </w:p>
    <w:p>
      <w:r>
        <w:rPr>
          <w:b/>
        </w:rPr>
        <w:t>E. 4.2</w:t>
      </w:r>
    </w:p>
    <w:p>
      <w:r>
        <w:t>Die Petitionskommission hielt in ihrem schriftlichen Bericht und Antrag auf Abweisung des Einbürgerungsgesuches Folgendes fest: Einschätzung der Integrationswilligkeit Obwohl A. sich an diversen Orten um eine Arbeitsstelle bemüht hatte, musste sie immer wieder Absagen hinnehmen. So hatte sie sich in den letzten zwei Jahren nicht mehr um Arbeit und um bessere Deutsch-Sprachkenntnisse bemüht. Nach ihrer Meinung müsse jeder (Schweizer) selber entscheiden, wie er leben möchte. Sie lebe jedoch so, wie es der Koran vorschreibe. Ein Indiz für die Integration ist nicht die äussere Erscheinung, sondern die allmähliche Annäherung und Angleichung an die Kultur der BGE 132 I 167 S. 172 Bevölkerung des Aufnahmelandes. Diese Integrationswilligkeit sollte vor einer Einbürgerung klar ersichtlich sein. Im Zweifel muss ein Dossier gründlich hinterfragt werden. Wenn ein Zweifel beim Bund und Kanton nicht ausgeräumt werden kann, muss ein Nein zur Einbürgerung resultieren. Während eine Kommissionsminderheit der Meinung war, die Integrationserfordernisse seien erfüllt, verneinte dies eine knappe Mehrheit. Die Antragstellerin hat jederzeit die Möglichkeit, in einem späteren Zeitpunkt ein neues Gesuch zu stellen. In der mündlichen Berichterstattung im Landrat ist gleichermassen davon ausgegangen worden, dass eine Einbürgerung eine hinreichende Integration erfordere bzw. einen hinreichenden Integrationswillen bereits im Zeitpunkt der Gesuchstellung voraussetze. Als Indiz eines fehlenden bzw. ungenügenden Integrationswillens ist darauf hingewiesen worden, dass sich die Beschwerdeführerin in den letzten Jahren um keine Arbeitsstelle bemüht habe, dass sie über keinen (genügenden) Arbeitserwerb verfüge und damit von ihrem Vater bzw. ihren Verwandten abhängig sei. In gleicher Weise wird festgestellt, dass die Beschwerdeführerin in den letzten Jahren keine Anstrengungen zur Verbesserung ihrer Deutschkenntnisse unternommen habe. Es wird Gewicht darauf gelegt, dass die Beschwerdeführerin den Willen einer allmählichen Annäherung und Angleichung an die Kultur der schweizerischen Bevölkerung im Lichte einer tatsächlichen Integration bekunden müsste. Schliesslich wird in der Vernehmlassung des Rechtsdienstes darauf hingewiesen, dass die Beschwerdeführerin jeglichen Kontakt mit der Schweizer Bevölkerung meide, sich ganz überwiegend im Kreise ihrer Familie und mit muslimischen Landsfrauen aufhalte und keinerlei Wille zeige, auf die hiesige Bevölkerung zuzugehen.</w:t>
      </w:r>
    </w:p>
    <w:p>
      <w:r>
        <w:rPr>
          <w:b/>
        </w:rPr>
        <w:t>E. 4.3</w:t>
      </w:r>
    </w:p>
    <w:p>
      <w:r>
        <w:t>Die Beschwerdeführerin zieht das Fehlen der für eine Einbürgerung erforderlichen Integration bzw. eines entsprechenden Integrationswillens in ihrer Beschwerde nicht in Frage. Insbesondere macht sie nicht geltend, dass die entsprechenden Vorbringen der Petitionskommission und der Mehrheit des Landrates sowie die Erwägungen in der Vernehmlassung des Rechtsdienstes unzutreffend seien. Sie bringt auch nichts vor, was auf ihre tatsächliche Integration schliessen liesse. Für die Beurteilung der vorliegenden Beschwerde kommt entscheidendes Gewicht dem Umstand zu, dass sich die Beschwerdeführerin vorab im Kreise ihrer Familie bzw. im Kreise von muslimischen BGE 132 I 167 S. 173 Landsfrauen und der Moschee in Basel aufhält, nicht auf die hiesige Bevölkerung zugeht und diese gar meidet. Darin kann eine mangelnde Integration, ein unzureichender Integrationswille und eine ungenügende allmähliche Annäherung und Angleichung an die schweizerische Kultur und die hiesigen Gewohnheiten erblickt werden. Die Religion verbietet, soweit ersichtlich, den Kontakt mit der schweizerischen Bevölkerung und eine entsprechende Integration nicht. Der der Beschwerdeführerin vorgehaltene Mangel an Integration, an Integrationswille und Anpassung steht nicht in unmittelbarem Zusammenhang mit ihrer Religion, mit dem tatsächlichen Beachten und Leben des Islam und mit den aus dem Koran abgeleiteten Verhaltens- und Bekleidungsweisen. Er ist vielmehr Ausdruck der Auffassung, dass Personen nicht eingebürgert werden sollen, die sich von der schweizerischen Bevölkerung fernhalten und bewusst und freiwillig nicht in näheren Kontakt mit den Leuten des aufnehmenden Landes treten wollen. All diese Vorbringen sind, für sich genommen, neutral gehalten und lassen keine auf Religion, Rasse oder Herkunft beruhende Diskriminierung erkennen. Bei dieser Sachlage ist im bundesgerichtlichen Verfahren nicht darüber zu befinden, ob die einzelnen Begründungselemente in jeder Hinsicht materiell zutreffen, allenfalls von der bisherigen Praxis abweichen oder gar neue Kriterien einführen. Es ist daher unerheblich, wenn in der Debatte von Seiten der Befürworter des Einbürgerungsgesuches darauf hingewiesen worden ist, dass das Bemühen um eine Arbeitsstelle in der bisherigen Einbürgerungspraxis keine Rolle gespielt habe und dass auch Personen eingebürgert worden seien, die, soweit sie nicht der Öffentlichkeit zur Last fielen, über keine Arbeitsstelle verfügten und von Eltern oder Verwandten unterhalten wurden. Unerheblich ist desgleichen, dass die mündlichen Deutschkenntnisse der Beschwerdeführerin vom Kommissionssprecher als gut bezeichnet worden sind. Vor diesem Hintergrund kann nicht von einem Verstoss gegen Art. 8 Abs. 2 BV gesprochen werden. Das zeigt sich denn auch darin, dass der Vater und der Bruder der Beschwerdeführerin, die sich gleichermassen zum Islam bekennen, in Anbetracht ihrer Integration bzw. ihres Integrationswillens tatsächlich eingebürgert worden sind. Es kann auch nicht davon gesprochen werden, dass die Beschwerdeführerin wegen der aus dem Koran abgeleiteten Bekleidungsvorschriften spezifisch als Frau diskriminiert würde, da, wie der Rechtsdienst ausführt, in der Vergangenheit auch muslimische BGE 132 I 167 S. 174 Frauen, welche sich nach den Gepflogenheiten ihrer Religion kleiden, tatsächlich eingebürgert worden sind. Daran vermag der Einwand der die Einbürgerung unterstützenden Minderheit in der Kommission und im Landrat nichts zu ändern, wonach die Beschwerdeführerin nur dann Chancen auf eine Einbürgerung hätte, wenn sie ihr Kopftuch ablegen und somit ihrer religiösen Überzeugung entsagen würde. Auch die von Seiten der Minderheit in Kommission und Landrat mit Blick auf das Beachten der muslimischen Bekleidungsvorschriften emotional geführte Debatte vermochte nicht aufzuzeigen, dass die Beschwerdeführerin tatsächlich integriert sei, zumindest einen hinreichenden Integrationswillen an den Tag lege und letztlich bereit sei, in einen für eine Einbürgerung erforderlichen Kontakt mit der hiesigen Bevölkerung zu treten. Es kann daher, wie von den Befürwortern einer Einbürgerung vorgebracht, auch nicht gesagt werden, es fehle an einer tatsächlichen Begründung, worin die allmähliche Angleichung an schweizerische Gewohnheiten erblickt werde. Diese ist vielmehr darin zu sehen, dass die einbürgerungswillige Person tatsächlich in einen eigentlichen Kontakt mit der Bevölkerung des aufnehmenden Gemeinwesens trete und hierfür ein entsprechender Integrationswille bezeuge. Darin liegt weder eine (direkte oder indirekte) Benachteiligung wegen eines religiösen Bekenntnisses noch eine geschlechterspezifische Benachteiligung. Bei dieser Sachlage kann von einer Diskriminierung und von einem Verstoss gegen Art. 8 Abs. 2 in Verbindung mit Art. 8 Abs. 3 BV nicht gesprochen werden.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